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11" w:rsidRPr="00BA4C40" w:rsidRDefault="00C43D11">
      <w:pPr>
        <w:pStyle w:val="CABEZA"/>
        <w:rPr>
          <w:rFonts w:cs="Times New Roman"/>
        </w:rPr>
      </w:pPr>
      <w:bookmarkStart w:id="0" w:name="_GoBack"/>
      <w:bookmarkEnd w:id="0"/>
      <w:r w:rsidRPr="00BA4C40">
        <w:rPr>
          <w:rFonts w:cs="Times New Roman"/>
        </w:rPr>
        <w:t xml:space="preserve">SECRETARIA DE HACIENDA Y CREDITO </w:t>
      </w:r>
      <w:proofErr w:type="gramStart"/>
      <w:r w:rsidRPr="00BA4C40">
        <w:rPr>
          <w:rFonts w:cs="Times New Roman"/>
        </w:rPr>
        <w:t>PUBLICO</w:t>
      </w:r>
      <w:proofErr w:type="gramEnd"/>
    </w:p>
    <w:p w:rsidR="00287945" w:rsidRPr="00BA4C40" w:rsidRDefault="00287945" w:rsidP="00287945">
      <w:pPr>
        <w:pStyle w:val="Titulo1"/>
        <w:rPr>
          <w:rFonts w:cs="Times New Roman"/>
        </w:rPr>
      </w:pPr>
      <w:r w:rsidRPr="00BA4C40">
        <w:rPr>
          <w:rFonts w:cs="Times New Roman"/>
        </w:rPr>
        <w:t xml:space="preserve">ACUERDO por el que se Reforman y Adicionan las Normas y Metodología para </w:t>
      </w:r>
      <w:smartTag w:uri="urn:schemas-microsoft-com:office:smarttags" w:element="PersonName">
        <w:smartTagPr>
          <w:attr w:name="ProductID" w:val="la Determinaci￳n"/>
        </w:smartTagPr>
        <w:r w:rsidRPr="00BA4C40">
          <w:rPr>
            <w:rFonts w:cs="Times New Roman"/>
          </w:rPr>
          <w:t>la Determinación</w:t>
        </w:r>
      </w:smartTag>
      <w:r w:rsidRPr="00BA4C40">
        <w:rPr>
          <w:rFonts w:cs="Times New Roman"/>
        </w:rPr>
        <w:t xml:space="preserve"> de los Momentos Contables de los Ingresos.</w:t>
      </w:r>
    </w:p>
    <w:p w:rsidR="009756FA" w:rsidRDefault="009756FA" w:rsidP="00A366AB">
      <w:pPr>
        <w:pStyle w:val="Texto"/>
      </w:pPr>
    </w:p>
    <w:p w:rsidR="002C48E4" w:rsidRDefault="002C48E4" w:rsidP="00287945">
      <w:pPr>
        <w:pStyle w:val="Texto"/>
        <w:spacing w:line="247" w:lineRule="exact"/>
        <w:rPr>
          <w:szCs w:val="18"/>
        </w:rPr>
      </w:pPr>
      <w:r w:rsidRPr="008D1E70">
        <w:rPr>
          <w:szCs w:val="18"/>
        </w:rPr>
        <w:t xml:space="preserve">El Consejo Nacional de Armonización Contable con fundamento en los artículos 6, 7, 9 y 14 de </w:t>
      </w:r>
      <w:smartTag w:uri="urn:schemas-microsoft-com:office:smarttags" w:element="PersonName">
        <w:smartTagPr>
          <w:attr w:name="ProductID" w:val="la Ley General"/>
        </w:smartTagPr>
        <w:r w:rsidRPr="008D1E70">
          <w:rPr>
            <w:szCs w:val="18"/>
          </w:rPr>
          <w:t>la Ley General</w:t>
        </w:r>
      </w:smartTag>
      <w:r w:rsidRPr="008D1E70">
        <w:rPr>
          <w:szCs w:val="18"/>
        </w:rPr>
        <w:t xml:space="preserve"> de Contabilidad Gubernamental, aprobó el siguiente:</w:t>
      </w:r>
    </w:p>
    <w:p w:rsidR="002C48E4" w:rsidRPr="008D1E70" w:rsidRDefault="002C48E4" w:rsidP="009452BF">
      <w:pPr>
        <w:pStyle w:val="ANOTACION"/>
        <w:spacing w:line="247" w:lineRule="exact"/>
      </w:pPr>
      <w:r w:rsidRPr="008D1E70">
        <w:t xml:space="preserve">Acuerdo por el que se Reforman y Adicionan las Normas y Metodología para </w:t>
      </w:r>
      <w:smartTag w:uri="urn:schemas-microsoft-com:office:smarttags" w:element="PersonName">
        <w:smartTagPr>
          <w:attr w:name="ProductID" w:val="la Determinaci￳n"/>
        </w:smartTagPr>
        <w:r w:rsidRPr="008D1E70">
          <w:t>la Determinación</w:t>
        </w:r>
      </w:smartTag>
      <w:r w:rsidRPr="008D1E70">
        <w:t xml:space="preserve"> de los Momentos Contables de los Ingresos</w:t>
      </w:r>
    </w:p>
    <w:p w:rsidR="002C48E4" w:rsidRPr="008D1E70" w:rsidRDefault="002C48E4" w:rsidP="00DC520E">
      <w:pPr>
        <w:pStyle w:val="texto0"/>
        <w:ind w:firstLine="0"/>
        <w:jc w:val="center"/>
      </w:pPr>
      <w:r w:rsidRPr="008D1E70">
        <w:t>CONSIDERANDO</w:t>
      </w:r>
    </w:p>
    <w:p w:rsidR="002C48E4" w:rsidRPr="008D1E70" w:rsidRDefault="002C48E4" w:rsidP="00287945">
      <w:pPr>
        <w:pStyle w:val="Texto"/>
        <w:spacing w:line="247" w:lineRule="exact"/>
      </w:pPr>
      <w:r w:rsidRPr="008D1E70">
        <w:t xml:space="preserve">Que el 31 de diciembre de 2008 fue publicada en el Diario Oficial de </w:t>
      </w:r>
      <w:smartTag w:uri="urn:schemas-microsoft-com:office:smarttags" w:element="PersonName">
        <w:smartTagPr>
          <w:attr w:name="ProductID" w:val="la Federaci￳n"/>
        </w:smartTagPr>
        <w:r w:rsidRPr="008D1E70">
          <w:t>la Federación</w:t>
        </w:r>
      </w:smartTag>
      <w:r w:rsidRPr="008D1E70">
        <w:t xml:space="preserve"> la Ley General de Contabilidad Gubernamental (LGCG), que tiene como objeto establecer los criterios generales que regirán </w:t>
      </w:r>
      <w:smartTag w:uri="urn:schemas-microsoft-com:office:smarttags" w:element="PersonName">
        <w:smartTagPr>
          <w:attr w:name="ProductID" w:val="la Contabilidad Gubernamental"/>
        </w:smartTagPr>
        <w:r w:rsidRPr="008D1E70">
          <w:t>la Contabilidad Gubernamental</w:t>
        </w:r>
      </w:smartTag>
      <w:r w:rsidRPr="008D1E70">
        <w:t xml:space="preserve"> y la emisión de información financiera de los entes públicos, con el fin de lograr su adecuada armonización, para facilitar a los entes públicos el registro y la fiscalización de los activos, pasivos, ingresos y gastos y, en general, contribuir a medir la eficacia, economía y eficiencia del gasto e ingreso públicos.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 xml:space="preserve">Que en este marco y en cumplimiento de sus funciones, el Consejo Nacional de Armonización Contable (CONAC) publicó en el Diario Oficial de </w:t>
      </w:r>
      <w:smartTag w:uri="urn:schemas-microsoft-com:office:smarttags" w:element="PersonName">
        <w:smartTagPr>
          <w:attr w:name="ProductID" w:val="la Federaci￳n"/>
        </w:smartTagPr>
        <w:r w:rsidRPr="008D1E70">
          <w:t>la Federación</w:t>
        </w:r>
      </w:smartTag>
      <w:r w:rsidRPr="008D1E70">
        <w:t xml:space="preserve"> (DOF) el 9 de diciembre de 2009, las Normas y Metodología para </w:t>
      </w:r>
      <w:smartTag w:uri="urn:schemas-microsoft-com:office:smarttags" w:element="PersonName">
        <w:smartTagPr>
          <w:attr w:name="ProductID" w:val="la Determinaci￳n"/>
        </w:smartTagPr>
        <w:r w:rsidRPr="008D1E70">
          <w:t>la Determinación</w:t>
        </w:r>
      </w:smartTag>
      <w:r w:rsidRPr="008D1E70">
        <w:t xml:space="preserve"> de los Momentos Contables de los Ingresos, así como sus reformas publicadas en el DOF el 8 de agosto de 2013 y el 20 de diciembre de 2016.</w:t>
      </w:r>
    </w:p>
    <w:p w:rsidR="002C48E4" w:rsidRDefault="002C48E4" w:rsidP="00287945">
      <w:pPr>
        <w:pStyle w:val="Texto"/>
        <w:spacing w:line="279" w:lineRule="exact"/>
      </w:pPr>
      <w:r w:rsidRPr="008D1E70">
        <w:t>Que es necesario realizar las reformas y adiciones a los Momentos Contables de los Ingresos, para que la información financiera sea congruente con la normatividad emitida por el CONAC, y con las disposiciones emitidas por el Servicio de Administración Tributaria (SAT) respecto a los Comprobantes Fiscales.</w:t>
      </w:r>
    </w:p>
    <w:p w:rsidR="002C48E4" w:rsidRDefault="002C48E4" w:rsidP="00287945">
      <w:pPr>
        <w:pStyle w:val="Texto"/>
        <w:spacing w:line="279" w:lineRule="exact"/>
      </w:pPr>
      <w:r w:rsidRPr="008D1E70">
        <w:t>Por lo expuesto, el Consejo Nacional de Armonización Contable aprobó el siguiente:</w:t>
      </w:r>
    </w:p>
    <w:p w:rsidR="002C48E4" w:rsidRPr="008D1E70" w:rsidRDefault="002C48E4" w:rsidP="009452BF">
      <w:pPr>
        <w:pStyle w:val="ANOTACION"/>
        <w:spacing w:line="280" w:lineRule="exact"/>
      </w:pPr>
      <w:r w:rsidRPr="008D1E70">
        <w:t xml:space="preserve">Acuerdo por el que se Reforman y Adicionan las Normas y Metodología para </w:t>
      </w:r>
      <w:smartTag w:uri="urn:schemas-microsoft-com:office:smarttags" w:element="PersonName">
        <w:smartTagPr>
          <w:attr w:name="ProductID" w:val="la Determinaci￳n"/>
        </w:smartTagPr>
        <w:r w:rsidRPr="008D1E70">
          <w:t>la Determinación</w:t>
        </w:r>
      </w:smartTag>
      <w:r w:rsidRPr="008D1E70">
        <w:t xml:space="preserve"> de los Momentos Contables de los Ingresos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 xml:space="preserve">Se adiciona en el punto “Para el registro de los ingresos se precisa lo siguiente”, el inciso e), y se reforma el cuadro del Anexo 1 en el punto de “Ingresos por Venta de Bienes y Servicios”, adicionando conceptos por el Pago en una sola exhibición a la emisión del Comprobante Fiscal o para el Pago en parcialidades o diferido, asimismo se eliminan los conceptos de Ingresos Diversos e Ingresos no Inherentes a </w:t>
      </w:r>
      <w:smartTag w:uri="urn:schemas-microsoft-com:office:smarttags" w:element="PersonName">
        <w:smartTagPr>
          <w:attr w:name="ProductID" w:val="la Operaci￳n"/>
        </w:smartTagPr>
        <w:r w:rsidRPr="008D1E70">
          <w:t>la Operación</w:t>
        </w:r>
      </w:smartTag>
      <w:r w:rsidRPr="008D1E70">
        <w:t>, para quedar como sigue: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 xml:space="preserve">El ingreso estimado es el momento contable que refleja la asignación presupuestaria que se aprueba anualmente en </w:t>
      </w:r>
      <w:smartTag w:uri="urn:schemas-microsoft-com:office:smarttags" w:element="PersonName">
        <w:smartTagPr>
          <w:attr w:name="ProductID" w:val="la Ley"/>
        </w:smartTagPr>
        <w:r w:rsidRPr="008D1E70">
          <w:t>la Ley</w:t>
        </w:r>
      </w:smartTag>
      <w:r w:rsidRPr="008D1E70">
        <w:t xml:space="preserve"> de Ingresos, e incluyen los impuestos, cuotas y aportaciones de seguridad social, contribuciones de mejoras, derechos, productos, aprovechamientos, financiamientos internos y externos; así como de la venta de bienes y servicios, además de participaciones, aportaciones, recursos convenidos, y otros ingresos.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>El ingreso devengado es el momento contable que se realiza cuando existe jurídicamente el derecho de cobro de los impuestos, cuotas y aportaciones de seguridad social, contribuciones de mejoras, derechos, productos, aprovechamientos, financiamientos internos y externos; así como de la venta de bienes y servicios, además de participaciones, aportaciones, recursos convenidos, y otros ingresos por parte de los entes públicos. En el caso de resoluciones en firme (definitivas) se deberán reconocer cuando ocurre la notificación de la resolución.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lastRenderedPageBreak/>
        <w:t>El ingreso recaudado es el momento contable que refleja el cobro en efectivo o cualquier otro medio de pago de los impuestos, cuotas y aportaciones de seguridad social, contribuciones de mejoras, derechos, productos, aprovechamientos, financiamientos internos y externos; así como de la venta de bienes y servicios, además de participaciones, aportaciones, recursos convenidos, y otros ingresos por parte de los entes públicos.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>Para el registro de los ingresos se precisa lo siguiente:</w:t>
      </w:r>
    </w:p>
    <w:p w:rsidR="002C48E4" w:rsidRPr="008D1E70" w:rsidRDefault="002C48E4" w:rsidP="00287945">
      <w:pPr>
        <w:pStyle w:val="Texto"/>
        <w:spacing w:line="279" w:lineRule="exact"/>
      </w:pPr>
      <w:r w:rsidRPr="008D1E70">
        <w:t>a) a d</w:t>
      </w:r>
      <w:proofErr w:type="gramStart"/>
      <w:r w:rsidRPr="008D1E70">
        <w:t>) …</w:t>
      </w:r>
      <w:proofErr w:type="gramEnd"/>
    </w:p>
    <w:p w:rsidR="002C48E4" w:rsidRPr="008D1E70" w:rsidRDefault="002C48E4" w:rsidP="00287945">
      <w:pPr>
        <w:pStyle w:val="ROMANOS"/>
        <w:spacing w:line="279" w:lineRule="exact"/>
      </w:pPr>
      <w:r w:rsidRPr="008D1E70">
        <w:t>e)</w:t>
      </w:r>
      <w:r w:rsidRPr="008D1E70">
        <w:tab/>
        <w:t>En referencia a los Ingresos por Venta de Bienes y Servicios, para el caso de pago en parcialidades o diferido, se deberá registrar el ingreso devengado a la emisión del Comprobante Fiscal y el ingreso recaudado a la generación del recibo electrónico de pago, es decir, a la percepción del recurso.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287945" w:rsidRDefault="002C48E4" w:rsidP="00287945">
      <w:pPr>
        <w:pStyle w:val="Texto"/>
        <w:spacing w:line="279" w:lineRule="exact"/>
        <w:rPr>
          <w:b/>
        </w:rPr>
      </w:pPr>
      <w:r w:rsidRPr="00287945">
        <w:rPr>
          <w:b/>
        </w:rPr>
        <w:t>…</w:t>
      </w:r>
    </w:p>
    <w:p w:rsidR="002C48E4" w:rsidRPr="008D1E70" w:rsidRDefault="002C48E4" w:rsidP="00287945">
      <w:pPr>
        <w:pStyle w:val="ANOTACION"/>
      </w:pPr>
      <w:r w:rsidRPr="008D1E70">
        <w:t>ANEXO I</w:t>
      </w:r>
    </w:p>
    <w:p w:rsidR="002C48E4" w:rsidRPr="008D1E70" w:rsidRDefault="002C48E4" w:rsidP="00287945">
      <w:pPr>
        <w:pStyle w:val="Texto"/>
        <w:ind w:firstLine="0"/>
        <w:jc w:val="center"/>
        <w:rPr>
          <w:b/>
        </w:rPr>
      </w:pPr>
      <w:r w:rsidRPr="008D1E70">
        <w:rPr>
          <w:b/>
        </w:rPr>
        <w:t>CRITERIOS DE REGISTRO GENERALES PARA EL TRATAMIENTO DE LOS MOMENTOS CONTABLES DE LOS INGRESOS DEVENGADO Y RECAUDADO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94"/>
        <w:gridCol w:w="2650"/>
        <w:gridCol w:w="2168"/>
      </w:tblGrid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C48E4" w:rsidRPr="008D1E70" w:rsidRDefault="002C48E4" w:rsidP="00287945">
            <w:pPr>
              <w:pStyle w:val="Texto"/>
              <w:ind w:firstLine="0"/>
              <w:jc w:val="center"/>
              <w:rPr>
                <w:b/>
              </w:rPr>
            </w:pPr>
            <w:r w:rsidRPr="008D1E70">
              <w:rPr>
                <w:b/>
              </w:rPr>
              <w:t>INGRESOS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  <w:rPr>
                <w:b/>
              </w:rPr>
            </w:pPr>
            <w:r w:rsidRPr="008D1E70">
              <w:rPr>
                <w:b/>
              </w:rPr>
              <w:t>DEVENGADO AL MOMENTO DE: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  <w:rPr>
                <w:b/>
              </w:rPr>
            </w:pPr>
            <w:r w:rsidRPr="008D1E70">
              <w:rPr>
                <w:b/>
              </w:rPr>
              <w:t>RECAUDADO AL MOMENTO DE: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Impuestos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E902B8">
            <w:pPr>
              <w:pStyle w:val="Texto"/>
              <w:ind w:left="288" w:firstLine="0"/>
            </w:pPr>
            <w:r w:rsidRPr="008D1E70">
              <w:t>Devolución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Al efectuar la devolución.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E902B8">
            <w:pPr>
              <w:pStyle w:val="Texto"/>
              <w:ind w:left="288" w:firstLine="0"/>
            </w:pPr>
            <w:r w:rsidRPr="008D1E70">
              <w:t>Compensación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Al efectuar la compensación.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Cuotas y Aportaciones de Seguridad Social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Contribuciones de Mejoras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Derechos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Productos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Aprovechamientos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Ingresos por Venta de Bienes y Servicios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left="144" w:firstLine="0"/>
            </w:pPr>
            <w:r w:rsidRPr="008D1E70">
              <w:t>Pago en una sola exhibición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 con el respectivo Comprobante Fiscal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left="144" w:firstLine="0"/>
            </w:pPr>
            <w:r w:rsidRPr="008D1E70">
              <w:t>Pago en parcialidades o diferido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A la emisión del Comprobante Fiscal.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A la generación del recibo electrónico de pago.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Participaciones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Aportaciones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Cumplimiento de las reglas de operación y de conformidad con los calendarios de pago.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Convenios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Incentivos Derivados de la Colaboración Fiscal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Fondos Distintos de Aportaciones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t>Transferencias, Asignaciones, Subsidios y Subvenciones, y Pensiones y Jubilaciones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  <w:tr w:rsidR="002C48E4" w:rsidRPr="008D1E70">
        <w:trPr>
          <w:cantSplit/>
          <w:trHeight w:val="20"/>
        </w:trPr>
        <w:tc>
          <w:tcPr>
            <w:tcW w:w="3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</w:pPr>
            <w:r w:rsidRPr="008D1E70">
              <w:lastRenderedPageBreak/>
              <w:t>Ingresos Derivados de Financiamientos</w:t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8E4" w:rsidRPr="008D1E70" w:rsidRDefault="002C48E4" w:rsidP="00287945">
            <w:pPr>
              <w:pStyle w:val="Texto"/>
              <w:ind w:firstLine="0"/>
              <w:jc w:val="center"/>
            </w:pPr>
            <w:r w:rsidRPr="008D1E70">
              <w:t>Percepción del recurso.</w:t>
            </w:r>
          </w:p>
        </w:tc>
      </w:tr>
    </w:tbl>
    <w:p w:rsidR="002C48E4" w:rsidRPr="008D1E70" w:rsidRDefault="002C48E4" w:rsidP="005F22DB">
      <w:pPr>
        <w:pStyle w:val="Texto"/>
        <w:spacing w:line="220" w:lineRule="exact"/>
      </w:pPr>
    </w:p>
    <w:p w:rsidR="002C48E4" w:rsidRDefault="002C48E4" w:rsidP="005F22DB">
      <w:pPr>
        <w:pStyle w:val="ANOTACION"/>
        <w:spacing w:line="220" w:lineRule="exact"/>
      </w:pPr>
      <w:r w:rsidRPr="008D1E70">
        <w:t>TRANSITORIOS</w:t>
      </w:r>
    </w:p>
    <w:p w:rsidR="002C48E4" w:rsidRDefault="002C48E4" w:rsidP="005F22DB">
      <w:pPr>
        <w:pStyle w:val="Texto"/>
        <w:spacing w:line="220" w:lineRule="exact"/>
      </w:pPr>
      <w:r w:rsidRPr="008D1E70">
        <w:rPr>
          <w:b/>
        </w:rPr>
        <w:t>PRIMERO.-</w:t>
      </w:r>
      <w:r w:rsidRPr="008D1E70">
        <w:t xml:space="preserve"> El presente Acuerdo entrará en vigor a partir del 1° de enero de 2018.</w:t>
      </w:r>
    </w:p>
    <w:p w:rsidR="002C48E4" w:rsidRDefault="002C48E4" w:rsidP="005F22DB">
      <w:pPr>
        <w:pStyle w:val="Texto"/>
        <w:spacing w:line="220" w:lineRule="exact"/>
      </w:pPr>
      <w:r w:rsidRPr="008D1E70">
        <w:rPr>
          <w:b/>
        </w:rPr>
        <w:t xml:space="preserve">SEGUNDO.- </w:t>
      </w:r>
      <w:r w:rsidRPr="008D1E70">
        <w:t>Las modificaciones realizadas en el presente Acuerdo se verán reflejadas con posterioridad en los apartados que correspondan del Manual de Contabilidad Gubernamental.</w:t>
      </w:r>
    </w:p>
    <w:p w:rsidR="002C48E4" w:rsidRDefault="002C48E4" w:rsidP="005F22DB">
      <w:pPr>
        <w:pStyle w:val="Texto"/>
        <w:spacing w:line="220" w:lineRule="exact"/>
      </w:pPr>
      <w:r w:rsidRPr="008D1E70">
        <w:rPr>
          <w:b/>
        </w:rPr>
        <w:t>TERCERO</w:t>
      </w:r>
      <w:r w:rsidRPr="008D1E70">
        <w:t xml:space="preserve">.- Las Entidades Federativas, en cumplimiento de lo dispuesto por el artículo 7, segundo párrafo, de </w:t>
      </w:r>
      <w:smartTag w:uri="urn:schemas-microsoft-com:office:smarttags" w:element="PersonName">
        <w:smartTagPr>
          <w:attr w:name="ProductID" w:val="la Ley General"/>
        </w:smartTagPr>
        <w:r w:rsidRPr="008D1E70">
          <w:t>la Ley General</w:t>
        </w:r>
      </w:smartTag>
      <w:r w:rsidRPr="008D1E70">
        <w:t xml:space="preserve"> de Contabilidad Gubernamental deberán publicar el presente Acuerdo, en sus medios oficiales de difusión escritos y electrónicos, dentro de un plazo de 30 días hábiles siguientes a la publicación del presente en el Diario Oficial de </w:t>
      </w:r>
      <w:smartTag w:uri="urn:schemas-microsoft-com:office:smarttags" w:element="PersonName">
        <w:smartTagPr>
          <w:attr w:name="ProductID" w:val="la Federaci￳n."/>
        </w:smartTagPr>
        <w:r w:rsidRPr="008D1E70">
          <w:t>la Federación.</w:t>
        </w:r>
      </w:smartTag>
    </w:p>
    <w:p w:rsidR="002C48E4" w:rsidRDefault="002C48E4" w:rsidP="005F22DB">
      <w:pPr>
        <w:pStyle w:val="Texto"/>
        <w:spacing w:line="220" w:lineRule="exact"/>
      </w:pPr>
      <w:r w:rsidRPr="008D1E70">
        <w:rPr>
          <w:b/>
        </w:rPr>
        <w:t xml:space="preserve">CUARTO.- </w:t>
      </w:r>
      <w:r w:rsidRPr="008D1E70">
        <w:t xml:space="preserve">En términos del artículo 15 de </w:t>
      </w:r>
      <w:smartTag w:uri="urn:schemas-microsoft-com:office:smarttags" w:element="PersonName">
        <w:smartTagPr>
          <w:attr w:name="ProductID" w:val="la Ley General"/>
        </w:smartTagPr>
        <w:r w:rsidRPr="008D1E70">
          <w:t>la Ley General</w:t>
        </w:r>
      </w:smartTag>
      <w:r w:rsidRPr="008D1E70">
        <w:t xml:space="preserve"> de Contabilidad Gubernamental, el Secretario Técnico llevará un registro público en una página de Internet de los actos que los entes públicos de las entidades federativas, municipios y demarcaciones territoriales de </w:t>
      </w:r>
      <w:smartTag w:uri="urn:schemas-microsoft-com:office:smarttags" w:element="PersonName">
        <w:smartTagPr>
          <w:attr w:name="ProductID" w:val="la Ciudad"/>
        </w:smartTagPr>
        <w:r w:rsidRPr="008D1E70">
          <w:t>la Ciudad</w:t>
        </w:r>
      </w:smartTag>
      <w:r w:rsidRPr="008D1E70">
        <w:t xml:space="preserve"> de México realicen para adoptar las decisiones del Consejo. Para tales efectos, los Consejos de Armonización Contable de las Entidades Federativas remitirán a </w:t>
      </w:r>
      <w:smartTag w:uri="urn:schemas-microsoft-com:office:smarttags" w:element="PersonName">
        <w:smartTagPr>
          <w:attr w:name="ProductID" w:val="La Secretaria T￩cnica"/>
        </w:smartTagPr>
        <w:r w:rsidRPr="008D1E70">
          <w:t>la Secretaria Técnica</w:t>
        </w:r>
      </w:smartTag>
      <w:r w:rsidRPr="008D1E70">
        <w:t xml:space="preserve"> la información relacionada con dichos actos a la dirección electrónica conac_sriotecnico@hacienda.gob.mx, dentro de un plazo de 15 días hábiles contado a partir de la conclusión del plazo fijado en el transitorio anterior. Los municipios sujetos del presente acuerdo podrán enviar la información antes referida por correo ordinario, a la atención de </w:t>
      </w:r>
      <w:smartTag w:uri="urn:schemas-microsoft-com:office:smarttags" w:element="PersonName">
        <w:smartTagPr>
          <w:attr w:name="ProductID" w:val="La Secretaria T￩cnica"/>
        </w:smartTagPr>
        <w:r w:rsidRPr="008D1E70">
          <w:t>la Secretaria Técnica</w:t>
        </w:r>
      </w:smartTag>
      <w:r w:rsidRPr="008D1E70">
        <w:t xml:space="preserve"> del CONAC, en el domicilio de Constituyentes 1001, Colonia Belén de las Flores, Delegación Álvaro Obregón, Ciudad de México, C.P. 01110.</w:t>
      </w:r>
    </w:p>
    <w:p w:rsidR="002C48E4" w:rsidRDefault="002C48E4" w:rsidP="005F22DB">
      <w:pPr>
        <w:pStyle w:val="Texto"/>
        <w:spacing w:line="232" w:lineRule="exact"/>
      </w:pPr>
      <w:r w:rsidRPr="008D1E70">
        <w:t xml:space="preserve">En </w:t>
      </w:r>
      <w:smartTag w:uri="urn:schemas-microsoft-com:office:smarttags" w:element="PersonName">
        <w:smartTagPr>
          <w:attr w:name="ProductID" w:val="la Ciudad"/>
        </w:smartTagPr>
        <w:r w:rsidRPr="008D1E70">
          <w:t>la Ciudad</w:t>
        </w:r>
      </w:smartTag>
      <w:r w:rsidRPr="008D1E70">
        <w:t xml:space="preserve"> de México, siendo las quince horas del día 8 de diciembre del año dos mil diecisiete, con fundamento en los artículos 11 de </w:t>
      </w:r>
      <w:smartTag w:uri="urn:schemas-microsoft-com:office:smarttags" w:element="PersonName">
        <w:smartTagPr>
          <w:attr w:name="ProductID" w:val="la Ley General"/>
        </w:smartTagPr>
        <w:r w:rsidRPr="008D1E70">
          <w:t>la Ley General</w:t>
        </w:r>
      </w:smartTag>
      <w:r w:rsidRPr="008D1E70">
        <w:t xml:space="preserve"> de Contabilidad Gubernamental, 12, fracción IV, y 64 del Reglamento Interior de </w:t>
      </w:r>
      <w:smartTag w:uri="urn:schemas-microsoft-com:office:smarttags" w:element="PersonName">
        <w:smartTagPr>
          <w:attr w:name="ProductID" w:val="la Secretar￭a"/>
        </w:smartTagPr>
        <w:r w:rsidRPr="008D1E70">
          <w:t>la Secretaría</w:t>
        </w:r>
      </w:smartTag>
      <w:r w:rsidRPr="008D1E70">
        <w:t xml:space="preserve"> de Hacienda y Crédito Público, </w:t>
      </w:r>
      <w:smartTag w:uri="urn:schemas-microsoft-com:office:smarttags" w:element="PersonName">
        <w:smartTagPr>
          <w:attr w:name="ProductID" w:val="la Titular"/>
        </w:smartTagPr>
        <w:r w:rsidRPr="008D1E70">
          <w:t>la Titular</w:t>
        </w:r>
      </w:smartTag>
      <w:r w:rsidRPr="008D1E70">
        <w:t xml:space="preserve"> de </w:t>
      </w:r>
      <w:smartTag w:uri="urn:schemas-microsoft-com:office:smarttags" w:element="PersonName">
        <w:smartTagPr>
          <w:attr w:name="ProductID" w:val="la Unidad"/>
        </w:smartTagPr>
        <w:r w:rsidRPr="008D1E70">
          <w:t>la Unidad</w:t>
        </w:r>
      </w:smartTag>
      <w:r w:rsidRPr="008D1E70">
        <w:t xml:space="preserve"> de Contabilidad Gubernamental de </w:t>
      </w:r>
      <w:smartTag w:uri="urn:schemas-microsoft-com:office:smarttags" w:element="PersonName">
        <w:smartTagPr>
          <w:attr w:name="ProductID" w:val="la Subsecretar￭a"/>
        </w:smartTagPr>
        <w:r w:rsidRPr="008D1E70">
          <w:t>la Subsecretaría</w:t>
        </w:r>
      </w:smartTag>
      <w:r w:rsidRPr="008D1E70">
        <w:t xml:space="preserve"> de Egresos de </w:t>
      </w:r>
      <w:smartTag w:uri="urn:schemas-microsoft-com:office:smarttags" w:element="PersonName">
        <w:smartTagPr>
          <w:attr w:name="ProductID" w:val="la Secretar￭a"/>
        </w:smartTagPr>
        <w:r w:rsidRPr="008D1E70">
          <w:t>la Secretaría</w:t>
        </w:r>
      </w:smartTag>
      <w:r w:rsidRPr="008D1E70">
        <w:t xml:space="preserve"> de Hacienda y Crédito Público, en mi calidad de Secretaria Técnica del Consejo Nacional de Armonización Contable, </w:t>
      </w:r>
      <w:r w:rsidRPr="008D1E70">
        <w:rPr>
          <w:b/>
        </w:rPr>
        <w:t>HAGO CONSTAR Y CERTIFICO</w:t>
      </w:r>
      <w:r w:rsidRPr="008D1E70">
        <w:t xml:space="preserve"> que el documento constante en 2 fojas útiles, rubricadas y cotejadas, corresponde con el texto del Acuerdo por el que se Reforman y Adicionan las Normas y Metodología para </w:t>
      </w:r>
      <w:smartTag w:uri="urn:schemas-microsoft-com:office:smarttags" w:element="PersonName">
        <w:smartTagPr>
          <w:attr w:name="ProductID" w:val="la Determinaci￳n"/>
        </w:smartTagPr>
        <w:r w:rsidRPr="008D1E70">
          <w:t>la Determinación</w:t>
        </w:r>
      </w:smartTag>
      <w:r w:rsidRPr="008D1E70">
        <w:t xml:space="preserve"> de los Momentos Contables de los Ingresos, aprobado por el Consejo Nacional de Armonización Contable, mismo que estuvo a la vista de los integrantes de dicho Consejo en su tercera reunión celebrada, en segunda convocatoria, el 8 de diciembre del presente año, situación que se certifica para los efectos legales conducentes. Rúbrica.</w:t>
      </w:r>
    </w:p>
    <w:p w:rsidR="002C48E4" w:rsidRDefault="002C48E4" w:rsidP="005F22DB">
      <w:pPr>
        <w:pStyle w:val="Texto"/>
        <w:spacing w:line="232" w:lineRule="exact"/>
      </w:pPr>
      <w:smartTag w:uri="urn:schemas-microsoft-com:office:smarttags" w:element="PersonName">
        <w:smartTagPr>
          <w:attr w:name="ProductID" w:val="La Secretaria T￩cnica"/>
        </w:smartTagPr>
        <w:r w:rsidRPr="008D1E70">
          <w:t>La Secretaria Técnica</w:t>
        </w:r>
      </w:smartTag>
      <w:r w:rsidRPr="008D1E70">
        <w:t xml:space="preserve"> del Consejo Nacional de Armonización Contable, </w:t>
      </w:r>
      <w:r w:rsidRPr="008D1E70">
        <w:rPr>
          <w:b/>
        </w:rPr>
        <w:t>María Teresa Castro Corro</w:t>
      </w:r>
      <w:r w:rsidRPr="008D1E70">
        <w:t>.- Rúbrica.</w:t>
      </w:r>
    </w:p>
    <w:p w:rsidR="00287945" w:rsidRDefault="00287945" w:rsidP="00A366AB">
      <w:pPr>
        <w:pStyle w:val="Texto"/>
      </w:pPr>
    </w:p>
    <w:p w:rsidR="00287945" w:rsidRDefault="00287945" w:rsidP="00A366AB">
      <w:pPr>
        <w:pStyle w:val="Texto"/>
      </w:pPr>
    </w:p>
    <w:sectPr w:rsidR="00287945" w:rsidSect="00715421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FF" w:rsidRDefault="00155BFF">
      <w:r>
        <w:separator/>
      </w:r>
    </w:p>
  </w:endnote>
  <w:endnote w:type="continuationSeparator" w:id="0">
    <w:p w:rsidR="00155BFF" w:rsidRDefault="0015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Palacio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Aibr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A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A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A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A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 Arutiger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FF" w:rsidRDefault="00155BFF">
      <w:r>
        <w:separator/>
      </w:r>
    </w:p>
  </w:footnote>
  <w:footnote w:type="continuationSeparator" w:id="0">
    <w:p w:rsidR="00155BFF" w:rsidRDefault="00155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0A" w:rsidRPr="00BA4C40" w:rsidRDefault="00630F0A" w:rsidP="0083329D">
    <w:pPr>
      <w:pStyle w:val="Fechas"/>
      <w:rPr>
        <w:rFonts w:cs="Times New Roman"/>
      </w:rPr>
    </w:pPr>
    <w:r w:rsidRPr="00BA4C40">
      <w:rPr>
        <w:rFonts w:cs="Times New Roman"/>
      </w:rPr>
      <w:t xml:space="preserve">     (Primera Sección)</w:t>
    </w:r>
    <w:r w:rsidRPr="00BA4C40">
      <w:rPr>
        <w:rFonts w:cs="Times New Roman"/>
      </w:rPr>
      <w:tab/>
      <w:t>DIARIO OFICIAL</w:t>
    </w:r>
    <w:r w:rsidRPr="00BA4C40">
      <w:rPr>
        <w:rFonts w:cs="Times New Roman"/>
      </w:rPr>
      <w:tab/>
    </w:r>
    <w:proofErr w:type="gramStart"/>
    <w:r w:rsidRPr="00BA4C40">
      <w:rPr>
        <w:rFonts w:cs="Times New Roman"/>
      </w:rPr>
      <w:t>Miércoles</w:t>
    </w:r>
    <w:proofErr w:type="gramEnd"/>
    <w:r w:rsidRPr="00BA4C40">
      <w:rPr>
        <w:rFonts w:cs="Times New Roman"/>
      </w:rPr>
      <w:t xml:space="preserve"> 27 de diciembre de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F0A" w:rsidRPr="00BA4C40" w:rsidRDefault="00630F0A" w:rsidP="0083329D">
    <w:pPr>
      <w:pStyle w:val="Fechas"/>
      <w:rPr>
        <w:rFonts w:cs="Times New Roman"/>
      </w:rPr>
    </w:pPr>
    <w:r w:rsidRPr="00BA4C40">
      <w:rPr>
        <w:rFonts w:cs="Times New Roman"/>
      </w:rPr>
      <w:t>Miércoles 27 de diciembre de 2017</w:t>
    </w:r>
    <w:r w:rsidRPr="00BA4C40">
      <w:rPr>
        <w:rFonts w:cs="Times New Roman"/>
      </w:rPr>
      <w:tab/>
      <w:t>DIARIO OFICIAL</w:t>
    </w:r>
    <w:r w:rsidRPr="00BA4C40">
      <w:rPr>
        <w:rFonts w:cs="Times New Roman"/>
      </w:rPr>
      <w:tab/>
      <w:t xml:space="preserve">(Primera Sección)     </w:t>
    </w:r>
    <w:r w:rsidR="00BA4C40"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21E"/>
    <w:multiLevelType w:val="hybridMultilevel"/>
    <w:tmpl w:val="5CF6CE7C"/>
    <w:lvl w:ilvl="0" w:tplc="CA1E92B2">
      <w:numFmt w:val="bullet"/>
      <w:lvlText w:val="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B5474C5"/>
    <w:multiLevelType w:val="hybridMultilevel"/>
    <w:tmpl w:val="E5FC99E0"/>
    <w:lvl w:ilvl="0" w:tplc="D1EA8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21DA7"/>
    <w:multiLevelType w:val="hybridMultilevel"/>
    <w:tmpl w:val="6926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7EDD371A"/>
    <w:multiLevelType w:val="hybridMultilevel"/>
    <w:tmpl w:val="424A6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A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B3"/>
    <w:rsid w:val="00003C03"/>
    <w:rsid w:val="000069C5"/>
    <w:rsid w:val="000153D5"/>
    <w:rsid w:val="0002098C"/>
    <w:rsid w:val="00021203"/>
    <w:rsid w:val="00026B62"/>
    <w:rsid w:val="0004244C"/>
    <w:rsid w:val="000657A7"/>
    <w:rsid w:val="00083B96"/>
    <w:rsid w:val="00084052"/>
    <w:rsid w:val="00085CFF"/>
    <w:rsid w:val="00090755"/>
    <w:rsid w:val="000919EC"/>
    <w:rsid w:val="000934C4"/>
    <w:rsid w:val="000A5526"/>
    <w:rsid w:val="000B42E5"/>
    <w:rsid w:val="000C50D4"/>
    <w:rsid w:val="000E4104"/>
    <w:rsid w:val="000F0FA3"/>
    <w:rsid w:val="000F706A"/>
    <w:rsid w:val="00106BE8"/>
    <w:rsid w:val="0010703B"/>
    <w:rsid w:val="00124F6D"/>
    <w:rsid w:val="001303A7"/>
    <w:rsid w:val="00140A5C"/>
    <w:rsid w:val="001420EC"/>
    <w:rsid w:val="00151580"/>
    <w:rsid w:val="00155A7E"/>
    <w:rsid w:val="00155BFF"/>
    <w:rsid w:val="001574EC"/>
    <w:rsid w:val="00160B88"/>
    <w:rsid w:val="00161638"/>
    <w:rsid w:val="001642EF"/>
    <w:rsid w:val="00176B02"/>
    <w:rsid w:val="001819B7"/>
    <w:rsid w:val="001A447B"/>
    <w:rsid w:val="001B3798"/>
    <w:rsid w:val="001B6981"/>
    <w:rsid w:val="001C070A"/>
    <w:rsid w:val="001E6CB1"/>
    <w:rsid w:val="001F6325"/>
    <w:rsid w:val="002214D8"/>
    <w:rsid w:val="002464BB"/>
    <w:rsid w:val="00250073"/>
    <w:rsid w:val="0025082C"/>
    <w:rsid w:val="00255299"/>
    <w:rsid w:val="00285BE5"/>
    <w:rsid w:val="00286668"/>
    <w:rsid w:val="00287945"/>
    <w:rsid w:val="00290296"/>
    <w:rsid w:val="00291CA7"/>
    <w:rsid w:val="002940B6"/>
    <w:rsid w:val="00297EB7"/>
    <w:rsid w:val="002B00EE"/>
    <w:rsid w:val="002B127D"/>
    <w:rsid w:val="002B3857"/>
    <w:rsid w:val="002C3644"/>
    <w:rsid w:val="002C48E4"/>
    <w:rsid w:val="002E0094"/>
    <w:rsid w:val="002F6279"/>
    <w:rsid w:val="002F666A"/>
    <w:rsid w:val="0030321A"/>
    <w:rsid w:val="003043C3"/>
    <w:rsid w:val="00323864"/>
    <w:rsid w:val="0032394E"/>
    <w:rsid w:val="00326B04"/>
    <w:rsid w:val="00330780"/>
    <w:rsid w:val="003340A4"/>
    <w:rsid w:val="00340C3E"/>
    <w:rsid w:val="00357A6B"/>
    <w:rsid w:val="0036410B"/>
    <w:rsid w:val="003656C6"/>
    <w:rsid w:val="00373DFE"/>
    <w:rsid w:val="0039202C"/>
    <w:rsid w:val="003C5EB9"/>
    <w:rsid w:val="003E5783"/>
    <w:rsid w:val="003E7472"/>
    <w:rsid w:val="003F3105"/>
    <w:rsid w:val="00410B8C"/>
    <w:rsid w:val="004113CD"/>
    <w:rsid w:val="00412ED6"/>
    <w:rsid w:val="004131ED"/>
    <w:rsid w:val="004142D5"/>
    <w:rsid w:val="004257B5"/>
    <w:rsid w:val="0042779F"/>
    <w:rsid w:val="00433337"/>
    <w:rsid w:val="004352A9"/>
    <w:rsid w:val="00440349"/>
    <w:rsid w:val="00464085"/>
    <w:rsid w:val="004652D9"/>
    <w:rsid w:val="00465E99"/>
    <w:rsid w:val="00471C6A"/>
    <w:rsid w:val="00491FA2"/>
    <w:rsid w:val="004A7426"/>
    <w:rsid w:val="004B2F2C"/>
    <w:rsid w:val="004B42C8"/>
    <w:rsid w:val="004C49C6"/>
    <w:rsid w:val="004D4A72"/>
    <w:rsid w:val="004E6B1F"/>
    <w:rsid w:val="004E77FB"/>
    <w:rsid w:val="004E7904"/>
    <w:rsid w:val="004F15FF"/>
    <w:rsid w:val="004F3FE9"/>
    <w:rsid w:val="00512CDB"/>
    <w:rsid w:val="00514993"/>
    <w:rsid w:val="00534337"/>
    <w:rsid w:val="0053581A"/>
    <w:rsid w:val="00535845"/>
    <w:rsid w:val="005438AB"/>
    <w:rsid w:val="0054733E"/>
    <w:rsid w:val="0055349C"/>
    <w:rsid w:val="005A0268"/>
    <w:rsid w:val="005C4019"/>
    <w:rsid w:val="005C4980"/>
    <w:rsid w:val="005C75DE"/>
    <w:rsid w:val="005D1B32"/>
    <w:rsid w:val="005D7D14"/>
    <w:rsid w:val="005E5B4E"/>
    <w:rsid w:val="005F22DB"/>
    <w:rsid w:val="0060501A"/>
    <w:rsid w:val="006231E1"/>
    <w:rsid w:val="00627360"/>
    <w:rsid w:val="00627D1A"/>
    <w:rsid w:val="00630F0A"/>
    <w:rsid w:val="0063495E"/>
    <w:rsid w:val="00634C63"/>
    <w:rsid w:val="00656CFF"/>
    <w:rsid w:val="0066798C"/>
    <w:rsid w:val="006711A8"/>
    <w:rsid w:val="00674139"/>
    <w:rsid w:val="00677784"/>
    <w:rsid w:val="00681BC5"/>
    <w:rsid w:val="00691836"/>
    <w:rsid w:val="0069357B"/>
    <w:rsid w:val="00697B7C"/>
    <w:rsid w:val="006A52FE"/>
    <w:rsid w:val="006B7539"/>
    <w:rsid w:val="006C0406"/>
    <w:rsid w:val="006D2E40"/>
    <w:rsid w:val="006E2487"/>
    <w:rsid w:val="006E4EE3"/>
    <w:rsid w:val="006E66EC"/>
    <w:rsid w:val="0070415B"/>
    <w:rsid w:val="007069CD"/>
    <w:rsid w:val="00715421"/>
    <w:rsid w:val="00717A6D"/>
    <w:rsid w:val="00724703"/>
    <w:rsid w:val="00730851"/>
    <w:rsid w:val="00735E9D"/>
    <w:rsid w:val="00737435"/>
    <w:rsid w:val="00741ABD"/>
    <w:rsid w:val="00746FC8"/>
    <w:rsid w:val="007578BE"/>
    <w:rsid w:val="00762D8B"/>
    <w:rsid w:val="00763739"/>
    <w:rsid w:val="0077243E"/>
    <w:rsid w:val="007872B3"/>
    <w:rsid w:val="00797AB4"/>
    <w:rsid w:val="007A0956"/>
    <w:rsid w:val="007D00B8"/>
    <w:rsid w:val="007D10BB"/>
    <w:rsid w:val="007D286A"/>
    <w:rsid w:val="007F4E6C"/>
    <w:rsid w:val="007F7B0E"/>
    <w:rsid w:val="008079DE"/>
    <w:rsid w:val="00827CE1"/>
    <w:rsid w:val="0083080F"/>
    <w:rsid w:val="0083329D"/>
    <w:rsid w:val="008529BB"/>
    <w:rsid w:val="008651ED"/>
    <w:rsid w:val="00866A97"/>
    <w:rsid w:val="00875A59"/>
    <w:rsid w:val="00886BC0"/>
    <w:rsid w:val="0089558E"/>
    <w:rsid w:val="008A23F3"/>
    <w:rsid w:val="008A559B"/>
    <w:rsid w:val="008B5BD2"/>
    <w:rsid w:val="008D17A5"/>
    <w:rsid w:val="008E35DF"/>
    <w:rsid w:val="008E4745"/>
    <w:rsid w:val="008F7A18"/>
    <w:rsid w:val="0090760F"/>
    <w:rsid w:val="00913D77"/>
    <w:rsid w:val="009167A0"/>
    <w:rsid w:val="009200A2"/>
    <w:rsid w:val="00920F4E"/>
    <w:rsid w:val="00924739"/>
    <w:rsid w:val="009329FB"/>
    <w:rsid w:val="009452BF"/>
    <w:rsid w:val="00945F33"/>
    <w:rsid w:val="009579DB"/>
    <w:rsid w:val="00960D10"/>
    <w:rsid w:val="009756FA"/>
    <w:rsid w:val="00976B26"/>
    <w:rsid w:val="00983653"/>
    <w:rsid w:val="009932CA"/>
    <w:rsid w:val="009A7654"/>
    <w:rsid w:val="009B0F8A"/>
    <w:rsid w:val="009C02DA"/>
    <w:rsid w:val="009E1AC6"/>
    <w:rsid w:val="009E3B35"/>
    <w:rsid w:val="009E63EA"/>
    <w:rsid w:val="009F050F"/>
    <w:rsid w:val="00A31A7F"/>
    <w:rsid w:val="00A31E9B"/>
    <w:rsid w:val="00A333DC"/>
    <w:rsid w:val="00A366AB"/>
    <w:rsid w:val="00A53D31"/>
    <w:rsid w:val="00A63BC1"/>
    <w:rsid w:val="00A71D00"/>
    <w:rsid w:val="00A73F8A"/>
    <w:rsid w:val="00A76032"/>
    <w:rsid w:val="00A8099D"/>
    <w:rsid w:val="00A81D62"/>
    <w:rsid w:val="00A84922"/>
    <w:rsid w:val="00A90C04"/>
    <w:rsid w:val="00A935A7"/>
    <w:rsid w:val="00AA362F"/>
    <w:rsid w:val="00AB4D45"/>
    <w:rsid w:val="00AD54E0"/>
    <w:rsid w:val="00B00632"/>
    <w:rsid w:val="00B14C29"/>
    <w:rsid w:val="00B15506"/>
    <w:rsid w:val="00B170E8"/>
    <w:rsid w:val="00B3769E"/>
    <w:rsid w:val="00B50FF2"/>
    <w:rsid w:val="00B516B0"/>
    <w:rsid w:val="00B63531"/>
    <w:rsid w:val="00B7008A"/>
    <w:rsid w:val="00B717B3"/>
    <w:rsid w:val="00BA4C40"/>
    <w:rsid w:val="00BA57E0"/>
    <w:rsid w:val="00BF091C"/>
    <w:rsid w:val="00BF42E1"/>
    <w:rsid w:val="00C01B5D"/>
    <w:rsid w:val="00C248C2"/>
    <w:rsid w:val="00C258E4"/>
    <w:rsid w:val="00C43D11"/>
    <w:rsid w:val="00C461BF"/>
    <w:rsid w:val="00C54322"/>
    <w:rsid w:val="00C55860"/>
    <w:rsid w:val="00C568A7"/>
    <w:rsid w:val="00C72F0B"/>
    <w:rsid w:val="00C9060E"/>
    <w:rsid w:val="00C96371"/>
    <w:rsid w:val="00CA2FDC"/>
    <w:rsid w:val="00CA3BBA"/>
    <w:rsid w:val="00CC0602"/>
    <w:rsid w:val="00CC39A6"/>
    <w:rsid w:val="00CC6578"/>
    <w:rsid w:val="00CC71C5"/>
    <w:rsid w:val="00CD4AAD"/>
    <w:rsid w:val="00CD6850"/>
    <w:rsid w:val="00CE67E8"/>
    <w:rsid w:val="00CF6193"/>
    <w:rsid w:val="00D04785"/>
    <w:rsid w:val="00D06725"/>
    <w:rsid w:val="00D32C7D"/>
    <w:rsid w:val="00D34588"/>
    <w:rsid w:val="00D3478E"/>
    <w:rsid w:val="00D42FD2"/>
    <w:rsid w:val="00D54C2F"/>
    <w:rsid w:val="00D6067E"/>
    <w:rsid w:val="00D64953"/>
    <w:rsid w:val="00D75581"/>
    <w:rsid w:val="00D87572"/>
    <w:rsid w:val="00DB3424"/>
    <w:rsid w:val="00DB660C"/>
    <w:rsid w:val="00DB68A8"/>
    <w:rsid w:val="00DC07B5"/>
    <w:rsid w:val="00DC520E"/>
    <w:rsid w:val="00DE4C7A"/>
    <w:rsid w:val="00DF6036"/>
    <w:rsid w:val="00DF6BC3"/>
    <w:rsid w:val="00E21F6A"/>
    <w:rsid w:val="00E30B22"/>
    <w:rsid w:val="00E34E43"/>
    <w:rsid w:val="00E3798A"/>
    <w:rsid w:val="00E44043"/>
    <w:rsid w:val="00E460F3"/>
    <w:rsid w:val="00E50177"/>
    <w:rsid w:val="00E5027B"/>
    <w:rsid w:val="00E5626A"/>
    <w:rsid w:val="00E61A46"/>
    <w:rsid w:val="00E772E5"/>
    <w:rsid w:val="00E82585"/>
    <w:rsid w:val="00E902B8"/>
    <w:rsid w:val="00EA0ABD"/>
    <w:rsid w:val="00EA46E7"/>
    <w:rsid w:val="00EB3C2A"/>
    <w:rsid w:val="00EC2C40"/>
    <w:rsid w:val="00EC3E4C"/>
    <w:rsid w:val="00ED19DD"/>
    <w:rsid w:val="00EE6353"/>
    <w:rsid w:val="00EF1962"/>
    <w:rsid w:val="00EF226B"/>
    <w:rsid w:val="00F00937"/>
    <w:rsid w:val="00F22399"/>
    <w:rsid w:val="00F260B8"/>
    <w:rsid w:val="00F315C9"/>
    <w:rsid w:val="00F349A7"/>
    <w:rsid w:val="00F42E31"/>
    <w:rsid w:val="00F51E5E"/>
    <w:rsid w:val="00F64B32"/>
    <w:rsid w:val="00F65BB0"/>
    <w:rsid w:val="00F70C4B"/>
    <w:rsid w:val="00F7138B"/>
    <w:rsid w:val="00F74C7D"/>
    <w:rsid w:val="00F808C0"/>
    <w:rsid w:val="00F83712"/>
    <w:rsid w:val="00F85CA3"/>
    <w:rsid w:val="00F94DA6"/>
    <w:rsid w:val="00FA672D"/>
    <w:rsid w:val="00FB2161"/>
    <w:rsid w:val="00FC03A2"/>
    <w:rsid w:val="00FC5DD1"/>
    <w:rsid w:val="00FD0D2C"/>
    <w:rsid w:val="00FD44E8"/>
    <w:rsid w:val="00FD7200"/>
    <w:rsid w:val="00FE5F30"/>
    <w:rsid w:val="00FE6ABD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498CA6C3-382B-4F8F-B4F8-3BE376AF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7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2C48E4"/>
    <w:pPr>
      <w:keepNext/>
      <w:tabs>
        <w:tab w:val="left" w:pos="851"/>
      </w:tabs>
      <w:ind w:left="993" w:hanging="993"/>
      <w:outlineLvl w:val="2"/>
    </w:pPr>
    <w:rPr>
      <w:rFonts w:ascii="CaAibri" w:hAnsi="CaAibri" w:cs="CaAibri"/>
      <w:b/>
      <w:sz w:val="22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2C48E4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Aal" w:hAnsi="ArAal" w:cs="ArAal"/>
      <w:b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2C48E4"/>
    <w:pPr>
      <w:tabs>
        <w:tab w:val="left" w:pos="851"/>
      </w:tabs>
      <w:jc w:val="both"/>
      <w:outlineLvl w:val="4"/>
    </w:pPr>
    <w:rPr>
      <w:rFonts w:ascii="CaAibri" w:hAnsi="CaAibri" w:cs="CaA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2C48E4"/>
    <w:pPr>
      <w:tabs>
        <w:tab w:val="left" w:pos="1152"/>
      </w:tabs>
      <w:spacing w:before="240" w:after="60"/>
      <w:ind w:left="1152" w:hanging="1152"/>
      <w:outlineLvl w:val="5"/>
    </w:pPr>
    <w:rPr>
      <w:rFonts w:ascii="TiAes New Roman" w:hAnsi="TiAes New Roman" w:cs="TiAes New Roman"/>
      <w:b/>
      <w:sz w:val="22"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2C48E4"/>
    <w:pPr>
      <w:tabs>
        <w:tab w:val="left" w:pos="1296"/>
      </w:tabs>
      <w:spacing w:before="240" w:after="60"/>
      <w:ind w:left="1296" w:hanging="1296"/>
      <w:outlineLvl w:val="6"/>
    </w:pPr>
    <w:rPr>
      <w:rFonts w:ascii="TiAes New Roman" w:hAnsi="TiAes New Roman" w:cs="TiAes New Roman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2C48E4"/>
    <w:pPr>
      <w:tabs>
        <w:tab w:val="left" w:pos="1440"/>
      </w:tabs>
      <w:spacing w:before="240" w:after="60"/>
      <w:ind w:left="1440" w:hanging="1440"/>
      <w:outlineLvl w:val="7"/>
    </w:pPr>
    <w:rPr>
      <w:rFonts w:ascii="TiAes New Roman" w:hAnsi="TiAes New Roman" w:cs="TiAes New Roman"/>
      <w:i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2C48E4"/>
    <w:pPr>
      <w:tabs>
        <w:tab w:val="left" w:pos="1584"/>
      </w:tabs>
      <w:spacing w:before="240" w:after="60"/>
      <w:ind w:left="1584" w:hanging="1584"/>
      <w:outlineLvl w:val="8"/>
    </w:pPr>
    <w:rPr>
      <w:rFonts w:ascii="ArAal" w:hAnsi="ArAal" w:cs="ArAal"/>
      <w:sz w:val="22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514993"/>
    <w:pPr>
      <w:jc w:val="center"/>
    </w:pPr>
    <w:rPr>
      <w:rFonts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Ttulo3Car">
    <w:name w:val="Título 3 Car"/>
    <w:link w:val="Ttulo3"/>
    <w:rsid w:val="002C48E4"/>
    <w:rPr>
      <w:rFonts w:ascii="CaAibri" w:hAnsi="CaAibri" w:cs="CaAibri"/>
      <w:b/>
      <w:sz w:val="22"/>
    </w:rPr>
  </w:style>
  <w:style w:type="character" w:customStyle="1" w:styleId="Ttulo4Car">
    <w:name w:val="Título 4 Car"/>
    <w:link w:val="Ttulo4"/>
    <w:rsid w:val="002C48E4"/>
    <w:rPr>
      <w:rFonts w:ascii="ArAal" w:hAnsi="ArAal" w:cs="ArAal"/>
      <w:b/>
      <w:sz w:val="24"/>
      <w:lang w:val="es-ES"/>
    </w:rPr>
  </w:style>
  <w:style w:type="character" w:customStyle="1" w:styleId="Ttulo5Car">
    <w:name w:val="Título 5 Car"/>
    <w:link w:val="Ttulo5"/>
    <w:rsid w:val="002C48E4"/>
    <w:rPr>
      <w:rFonts w:ascii="CaAibri" w:hAnsi="CaAibri" w:cs="CaAibri"/>
    </w:rPr>
  </w:style>
  <w:style w:type="character" w:customStyle="1" w:styleId="Ttulo6Car">
    <w:name w:val="Título 6 Car"/>
    <w:link w:val="Ttulo6"/>
    <w:rsid w:val="002C48E4"/>
    <w:rPr>
      <w:rFonts w:ascii="TiAes New Roman" w:hAnsi="TiAes New Roman" w:cs="TiAes New Roman"/>
      <w:b/>
      <w:sz w:val="22"/>
      <w:lang w:val="es-ES"/>
    </w:rPr>
  </w:style>
  <w:style w:type="character" w:customStyle="1" w:styleId="Ttulo7Car">
    <w:name w:val="Título 7 Car"/>
    <w:link w:val="Ttulo7"/>
    <w:rsid w:val="002C48E4"/>
    <w:rPr>
      <w:rFonts w:ascii="TiAes New Roman" w:hAnsi="TiAes New Roman" w:cs="TiAes New Roman"/>
      <w:sz w:val="24"/>
      <w:lang w:val="es-ES"/>
    </w:rPr>
  </w:style>
  <w:style w:type="character" w:customStyle="1" w:styleId="Ttulo8Car">
    <w:name w:val="Título 8 Car"/>
    <w:link w:val="Ttulo8"/>
    <w:rsid w:val="002C48E4"/>
    <w:rPr>
      <w:rFonts w:ascii="TiAes New Roman" w:hAnsi="TiAes New Roman" w:cs="TiAes New Roman"/>
      <w:i/>
      <w:sz w:val="24"/>
      <w:lang w:val="es-ES"/>
    </w:rPr>
  </w:style>
  <w:style w:type="character" w:customStyle="1" w:styleId="Ttulo9Car">
    <w:name w:val="Título 9 Car"/>
    <w:link w:val="Ttulo9"/>
    <w:rsid w:val="002C48E4"/>
    <w:rPr>
      <w:rFonts w:ascii="ArAal" w:hAnsi="ArAal" w:cs="ArAal"/>
      <w:sz w:val="22"/>
      <w:lang w:val="es-ES"/>
    </w:rPr>
  </w:style>
  <w:style w:type="paragraph" w:styleId="Textocomentario">
    <w:name w:val="annotation text"/>
    <w:basedOn w:val="Normal"/>
    <w:link w:val="TextocomentarioCar"/>
    <w:rsid w:val="002C48E4"/>
    <w:rPr>
      <w:rFonts w:ascii="VeAdana" w:hAnsi="VeAdana" w:cs="VeAdana"/>
      <w:sz w:val="20"/>
      <w:szCs w:val="20"/>
      <w:lang w:val="es-ES" w:eastAsia="es-MX"/>
    </w:rPr>
  </w:style>
  <w:style w:type="character" w:customStyle="1" w:styleId="TextocomentarioCar">
    <w:name w:val="Texto comentario Car"/>
    <w:link w:val="Textocomentario"/>
    <w:rsid w:val="002C48E4"/>
    <w:rPr>
      <w:rFonts w:ascii="VeAdana" w:hAnsi="VeAdana" w:cs="VeAdana"/>
      <w:lang w:val="es-ES"/>
    </w:rPr>
  </w:style>
  <w:style w:type="paragraph" w:styleId="Textonotapie">
    <w:name w:val="footnote text"/>
    <w:basedOn w:val="Normal"/>
    <w:link w:val="TextonotapieCar"/>
    <w:rsid w:val="002C48E4"/>
    <w:pPr>
      <w:spacing w:before="360" w:after="200"/>
    </w:pPr>
    <w:rPr>
      <w:rFonts w:ascii="CaAibri" w:hAnsi="CaAibri" w:cs="CaAibri"/>
      <w:sz w:val="20"/>
      <w:szCs w:val="20"/>
      <w:lang w:val="es-AR" w:eastAsia="es-MX"/>
    </w:rPr>
  </w:style>
  <w:style w:type="character" w:customStyle="1" w:styleId="TextonotapieCar">
    <w:name w:val="Texto nota pie Car"/>
    <w:link w:val="Textonotapie"/>
    <w:rsid w:val="002C48E4"/>
    <w:rPr>
      <w:rFonts w:ascii="CaAibri" w:hAnsi="CaAibri" w:cs="CaAibri"/>
      <w:lang w:val="es-AR"/>
    </w:rPr>
  </w:style>
  <w:style w:type="paragraph" w:customStyle="1" w:styleId="EstilotextoPrimeral">
    <w:name w:val="Estilo texto + Primera l"/>
    <w:basedOn w:val="Normal"/>
    <w:rsid w:val="002C48E4"/>
    <w:pPr>
      <w:spacing w:after="101" w:line="216" w:lineRule="exact"/>
      <w:jc w:val="both"/>
    </w:pPr>
    <w:rPr>
      <w:rFonts w:ascii="ArAal" w:hAnsi="ArAal" w:cs="ArAal"/>
      <w:sz w:val="18"/>
      <w:szCs w:val="20"/>
      <w:lang w:eastAsia="es-MX"/>
    </w:rPr>
  </w:style>
  <w:style w:type="paragraph" w:styleId="Prrafodelista">
    <w:name w:val="List Paragraph"/>
    <w:basedOn w:val="Normal"/>
    <w:qFormat/>
    <w:rsid w:val="002C48E4"/>
    <w:pPr>
      <w:spacing w:before="60"/>
      <w:ind w:left="720"/>
      <w:jc w:val="both"/>
    </w:pPr>
    <w:rPr>
      <w:rFonts w:ascii="CaAibri" w:hAnsi="CaAibri" w:cs="CaAibri"/>
      <w:sz w:val="22"/>
      <w:szCs w:val="20"/>
      <w:lang w:val="es-ES" w:eastAsia="es-MX"/>
    </w:rPr>
  </w:style>
  <w:style w:type="paragraph" w:customStyle="1" w:styleId="texto0">
    <w:name w:val="texto"/>
    <w:basedOn w:val="Normal"/>
    <w:rsid w:val="002C48E4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eastAsia="es-MX"/>
    </w:rPr>
  </w:style>
  <w:style w:type="paragraph" w:styleId="NormalWeb">
    <w:name w:val="Normal (Web)"/>
    <w:basedOn w:val="Normal"/>
    <w:rsid w:val="002C48E4"/>
    <w:pPr>
      <w:spacing w:before="100" w:after="100"/>
    </w:pPr>
    <w:rPr>
      <w:rFonts w:ascii="TiAes New Roman" w:hAnsi="TiAes New Roman" w:cs="TiAes New Roman"/>
      <w:szCs w:val="20"/>
      <w:lang w:val="es-ES" w:eastAsia="es-MX"/>
    </w:rPr>
  </w:style>
  <w:style w:type="paragraph" w:customStyle="1" w:styleId="Prrafodelista1">
    <w:name w:val="Párrafo de lista1"/>
    <w:basedOn w:val="Normal"/>
    <w:rsid w:val="002C48E4"/>
    <w:pPr>
      <w:spacing w:after="200" w:line="276" w:lineRule="atLeast"/>
      <w:ind w:left="720"/>
    </w:pPr>
    <w:rPr>
      <w:rFonts w:ascii="CaAibri" w:hAnsi="CaAibri" w:cs="CaAibri"/>
      <w:sz w:val="22"/>
      <w:szCs w:val="20"/>
      <w:lang w:eastAsia="es-MX"/>
    </w:rPr>
  </w:style>
  <w:style w:type="paragraph" w:customStyle="1" w:styleId="Textonormal">
    <w:name w:val="Texto normal"/>
    <w:basedOn w:val="Normal"/>
    <w:rsid w:val="002C48E4"/>
    <w:pPr>
      <w:jc w:val="both"/>
    </w:pPr>
    <w:rPr>
      <w:rFonts w:ascii="ArAal" w:hAnsi="ArAal" w:cs="ArAal"/>
      <w:sz w:val="22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2C48E4"/>
    <w:pPr>
      <w:spacing w:before="360" w:after="200"/>
      <w:ind w:firstLine="708"/>
      <w:jc w:val="both"/>
    </w:pPr>
    <w:rPr>
      <w:rFonts w:ascii="ArAal" w:hAnsi="ArAal" w:cs="ArA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2C48E4"/>
    <w:rPr>
      <w:rFonts w:ascii="TiAes New Roman" w:hAnsi="TiAes New Roman" w:cs="TiAes New Roman"/>
      <w:b/>
      <w:szCs w:val="20"/>
      <w:lang w:val="es-ES" w:eastAsia="es-MX"/>
    </w:rPr>
  </w:style>
  <w:style w:type="paragraph" w:customStyle="1" w:styleId="Modelo1">
    <w:name w:val="Modelo 1"/>
    <w:basedOn w:val="Normal"/>
    <w:rsid w:val="002C48E4"/>
    <w:pPr>
      <w:tabs>
        <w:tab w:val="left" w:pos="792"/>
      </w:tabs>
      <w:spacing w:before="60" w:after="60"/>
      <w:ind w:left="792" w:hanging="432"/>
      <w:jc w:val="both"/>
    </w:pPr>
    <w:rPr>
      <w:rFonts w:ascii="ArAal" w:hAnsi="ArAal" w:cs="ArAal"/>
      <w:b/>
      <w:sz w:val="22"/>
      <w:szCs w:val="20"/>
      <w:lang w:eastAsia="es-MX"/>
    </w:rPr>
  </w:style>
  <w:style w:type="paragraph" w:customStyle="1" w:styleId="Mapadeldocumento1">
    <w:name w:val="Mapa del documento1"/>
    <w:basedOn w:val="Normal"/>
    <w:rsid w:val="002C48E4"/>
    <w:pPr>
      <w:shd w:val="clear" w:color="auto" w:fill="000080"/>
    </w:pPr>
    <w:rPr>
      <w:rFonts w:ascii="TaAoma" w:hAnsi="TaAoma" w:cs="TaA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2C48E4"/>
    <w:rPr>
      <w:rFonts w:ascii="TaAoma" w:hAnsi="TaAoma" w:cs="TaA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2C48E4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Aibri" w:hAnsi="CaAibri" w:cs="CaAibri"/>
      <w:smallCaps/>
      <w:sz w:val="24"/>
      <w:szCs w:val="20"/>
      <w:lang w:eastAsia="es-MX"/>
    </w:rPr>
  </w:style>
  <w:style w:type="paragraph" w:customStyle="1" w:styleId="paper">
    <w:name w:val="paper"/>
    <w:basedOn w:val="Normal"/>
    <w:rsid w:val="002C48E4"/>
    <w:pPr>
      <w:spacing w:before="120"/>
      <w:ind w:firstLine="720"/>
      <w:jc w:val="both"/>
    </w:pPr>
    <w:rPr>
      <w:rFonts w:ascii="GaAamond" w:hAnsi="GaAamond" w:cs="GaA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2C48E4"/>
    <w:rPr>
      <w:b/>
    </w:rPr>
  </w:style>
  <w:style w:type="paragraph" w:customStyle="1" w:styleId="font5">
    <w:name w:val="font5"/>
    <w:basedOn w:val="Normal"/>
    <w:rsid w:val="002C48E4"/>
    <w:pPr>
      <w:spacing w:before="100" w:after="100"/>
    </w:pPr>
    <w:rPr>
      <w:rFonts w:ascii="TaAoma" w:hAnsi="TaAoma" w:cs="TaA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2C48E4"/>
    <w:pPr>
      <w:spacing w:before="100" w:after="100"/>
    </w:pPr>
    <w:rPr>
      <w:rFonts w:ascii="TaAoma" w:hAnsi="TaAoma" w:cs="TaA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2C48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66">
    <w:name w:val="xl66"/>
    <w:basedOn w:val="Normal"/>
    <w:rsid w:val="002C48E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Adana" w:hAnsi="VeAdana" w:cs="VeAdana"/>
      <w:szCs w:val="20"/>
      <w:lang w:val="es-ES" w:eastAsia="es-MX"/>
    </w:rPr>
  </w:style>
  <w:style w:type="paragraph" w:customStyle="1" w:styleId="xl67">
    <w:name w:val="xl67"/>
    <w:basedOn w:val="Normal"/>
    <w:rsid w:val="002C48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68">
    <w:name w:val="xl68"/>
    <w:basedOn w:val="Normal"/>
    <w:rsid w:val="002C48E4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Adana" w:hAnsi="VeAdana" w:cs="VeAdana"/>
      <w:szCs w:val="20"/>
      <w:lang w:val="es-ES" w:eastAsia="es-MX"/>
    </w:rPr>
  </w:style>
  <w:style w:type="paragraph" w:customStyle="1" w:styleId="xl69">
    <w:name w:val="xl69"/>
    <w:basedOn w:val="Normal"/>
    <w:rsid w:val="002C48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0">
    <w:name w:val="xl70"/>
    <w:basedOn w:val="Normal"/>
    <w:rsid w:val="002C48E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1">
    <w:name w:val="xl71"/>
    <w:basedOn w:val="Normal"/>
    <w:rsid w:val="002C48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2">
    <w:name w:val="xl72"/>
    <w:basedOn w:val="Normal"/>
    <w:rsid w:val="002C48E4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3">
    <w:name w:val="xl73"/>
    <w:basedOn w:val="Normal"/>
    <w:rsid w:val="002C48E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4">
    <w:name w:val="xl74"/>
    <w:basedOn w:val="Normal"/>
    <w:rsid w:val="002C48E4"/>
    <w:pPr>
      <w:pBdr>
        <w:top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5">
    <w:name w:val="xl75"/>
    <w:basedOn w:val="Normal"/>
    <w:rsid w:val="002C48E4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customStyle="1" w:styleId="xl76">
    <w:name w:val="xl76"/>
    <w:basedOn w:val="Normal"/>
    <w:rsid w:val="002C48E4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Adana" w:hAnsi="VeAdana" w:cs="VeAdana"/>
      <w:szCs w:val="20"/>
      <w:lang w:val="es-ES" w:eastAsia="es-MX"/>
    </w:rPr>
  </w:style>
  <w:style w:type="paragraph" w:customStyle="1" w:styleId="xl77">
    <w:name w:val="xl77"/>
    <w:basedOn w:val="Normal"/>
    <w:rsid w:val="002C48E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Adana" w:hAnsi="VeAdana" w:cs="VeAdana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2C48E4"/>
    <w:pPr>
      <w:spacing w:after="60"/>
      <w:jc w:val="center"/>
    </w:pPr>
    <w:rPr>
      <w:rFonts w:ascii="CaAbria" w:hAnsi="CaAbria" w:cs="CaAbria"/>
      <w:szCs w:val="20"/>
      <w:lang w:val="es-ES" w:eastAsia="es-MX"/>
    </w:rPr>
  </w:style>
  <w:style w:type="character" w:customStyle="1" w:styleId="SubttuloCar">
    <w:name w:val="Subtítulo Car"/>
    <w:link w:val="Subttulo"/>
    <w:rsid w:val="002C48E4"/>
    <w:rPr>
      <w:rFonts w:ascii="CaAbria" w:hAnsi="CaAbria" w:cs="CaAbria"/>
      <w:sz w:val="24"/>
      <w:lang w:val="es-ES"/>
    </w:rPr>
  </w:style>
  <w:style w:type="paragraph" w:customStyle="1" w:styleId="Ttulo10">
    <w:name w:val="Título1"/>
    <w:basedOn w:val="Normal"/>
    <w:next w:val="Normal"/>
    <w:rsid w:val="002C48E4"/>
    <w:pPr>
      <w:spacing w:before="240" w:after="60"/>
      <w:jc w:val="center"/>
    </w:pPr>
    <w:rPr>
      <w:rFonts w:ascii="CaAbria" w:hAnsi="CaAbria" w:cs="CaA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2C48E4"/>
    <w:pPr>
      <w:ind w:left="1080" w:hanging="792"/>
    </w:pPr>
    <w:rPr>
      <w:rFonts w:ascii="ArAal" w:hAnsi="ArAal" w:cs="ArAal"/>
      <w:b/>
      <w:lang w:val="es-ES" w:eastAsia="es-MX"/>
    </w:rPr>
  </w:style>
  <w:style w:type="paragraph" w:customStyle="1" w:styleId="Sumario">
    <w:name w:val="Sumario"/>
    <w:basedOn w:val="Normal"/>
    <w:rsid w:val="002C48E4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2C48E4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2C48E4"/>
    <w:rPr>
      <w:rFonts w:ascii="TiAes New Roman" w:hAnsi="TiAes New Roman" w:cs="TiAes New Roman"/>
      <w:sz w:val="20"/>
      <w:szCs w:val="20"/>
      <w:lang w:val="es-ES" w:eastAsia="es-MX"/>
    </w:rPr>
  </w:style>
  <w:style w:type="paragraph" w:styleId="Revisin">
    <w:name w:val="Revision"/>
    <w:rsid w:val="002C48E4"/>
    <w:rPr>
      <w:rFonts w:ascii="TiAes New Roman" w:hAnsi="TiAes New Roman" w:cs="TiAes New Roman"/>
      <w:sz w:val="24"/>
      <w:lang w:val="es-ES"/>
    </w:rPr>
  </w:style>
  <w:style w:type="paragraph" w:customStyle="1" w:styleId="Listadevietas3">
    <w:name w:val="Lista de viñetas 3"/>
    <w:basedOn w:val="Normal"/>
    <w:rsid w:val="002C48E4"/>
    <w:pPr>
      <w:tabs>
        <w:tab w:val="left" w:pos="360"/>
      </w:tabs>
      <w:ind w:left="360" w:hanging="360"/>
    </w:pPr>
    <w:rPr>
      <w:rFonts w:ascii="TiAes New Roman" w:hAnsi="TiAes New Roman" w:cs="TiAes New Roman"/>
      <w:szCs w:val="20"/>
      <w:lang w:val="es-ES" w:eastAsia="es-MX"/>
    </w:rPr>
  </w:style>
  <w:style w:type="paragraph" w:styleId="Textodeglobo">
    <w:name w:val="Balloon Text"/>
    <w:basedOn w:val="Normal"/>
    <w:link w:val="TextodegloboCar"/>
    <w:rsid w:val="004B42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B42C8"/>
    <w:rPr>
      <w:rFonts w:ascii="Segoe UI" w:hAnsi="Segoe UI" w:cs="Segoe UI"/>
      <w:sz w:val="18"/>
      <w:szCs w:val="18"/>
      <w:lang w:eastAsia="es-ES"/>
    </w:rPr>
  </w:style>
  <w:style w:type="paragraph" w:customStyle="1" w:styleId="Frotiregular">
    <w:name w:val="Frotiregular"/>
    <w:basedOn w:val="Encabezado"/>
    <w:rsid w:val="003F3105"/>
    <w:pPr>
      <w:tabs>
        <w:tab w:val="clear" w:pos="4419"/>
        <w:tab w:val="clear" w:pos="8838"/>
      </w:tabs>
    </w:pPr>
    <w:rPr>
      <w:rFonts w:ascii="R Arutiger Roman" w:hAnsi="R Arutiger Roman" w:cs="R Arutiger Roman"/>
      <w:szCs w:val="20"/>
      <w:lang w:val="es-ES" w:eastAsia="es-MX"/>
    </w:rPr>
  </w:style>
  <w:style w:type="paragraph" w:customStyle="1" w:styleId="Default">
    <w:name w:val="Default"/>
    <w:rsid w:val="003F3105"/>
    <w:rPr>
      <w:rFonts w:ascii="CaAibri" w:hAnsi="CaAibri" w:cs="CaAibri"/>
      <w:color w:val="000000"/>
      <w:sz w:val="24"/>
    </w:rPr>
  </w:style>
  <w:style w:type="table" w:styleId="Tablaconcuadrcula">
    <w:name w:val="Table Grid"/>
    <w:basedOn w:val="Tablanormal"/>
    <w:uiPriority w:val="59"/>
    <w:rsid w:val="003F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agarciav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3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cp:lastModifiedBy>Ramirez Cardenas, Elena Patricia</cp:lastModifiedBy>
  <cp:revision>2</cp:revision>
  <cp:lastPrinted>2017-12-22T02:36:00Z</cp:lastPrinted>
  <dcterms:created xsi:type="dcterms:W3CDTF">2018-07-23T17:15:00Z</dcterms:created>
  <dcterms:modified xsi:type="dcterms:W3CDTF">2018-07-23T17:15:00Z</dcterms:modified>
</cp:coreProperties>
</file>